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7" w:rsidRPr="008E39BF" w:rsidRDefault="00291F57" w:rsidP="00291F57">
      <w:pPr>
        <w:tabs>
          <w:tab w:val="left" w:pos="7655"/>
        </w:tabs>
        <w:rPr>
          <w:rFonts w:ascii="Arial" w:hAnsi="Arial" w:cs="Arial"/>
          <w:b/>
          <w:sz w:val="28"/>
          <w:szCs w:val="28"/>
        </w:rPr>
      </w:pPr>
      <w:r w:rsidRPr="008E39BF">
        <w:rPr>
          <w:rFonts w:ascii="Arial" w:hAnsi="Arial" w:cs="Arial"/>
          <w:b/>
          <w:sz w:val="28"/>
          <w:szCs w:val="28"/>
        </w:rPr>
        <w:t>Prevent Duty Guidance: for England and Wales</w:t>
      </w:r>
    </w:p>
    <w:p w:rsidR="00291F57" w:rsidRPr="00697249" w:rsidRDefault="00291F57" w:rsidP="00291F57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gramStart"/>
      <w:r w:rsidRPr="00697249">
        <w:rPr>
          <w:rFonts w:ascii="Arial" w:hAnsi="Arial" w:cs="Arial"/>
          <w:sz w:val="24"/>
          <w:szCs w:val="24"/>
        </w:rPr>
        <w:t>Guidance for specified authorities in England and Wales on the duty in the Counter-</w:t>
      </w:r>
      <w:r w:rsidR="00A06878">
        <w:rPr>
          <w:rFonts w:ascii="Arial" w:hAnsi="Arial" w:cs="Arial"/>
          <w:sz w:val="24"/>
          <w:szCs w:val="24"/>
        </w:rPr>
        <w:t>Terrorism and Security Act 2015</w:t>
      </w:r>
      <w:r w:rsidR="008E39BF">
        <w:rPr>
          <w:rFonts w:ascii="Arial" w:hAnsi="Arial" w:cs="Arial"/>
          <w:sz w:val="24"/>
          <w:szCs w:val="24"/>
        </w:rPr>
        <w:t xml:space="preserve"> </w:t>
      </w:r>
      <w:r w:rsidRPr="00697249">
        <w:rPr>
          <w:rFonts w:ascii="Arial" w:hAnsi="Arial" w:cs="Arial"/>
          <w:sz w:val="24"/>
          <w:szCs w:val="24"/>
        </w:rPr>
        <w:t>to have due regard to the need to prevent people from being drawn into terrorism.</w:t>
      </w:r>
      <w:proofErr w:type="gramEnd"/>
    </w:p>
    <w:p w:rsidR="00291F57" w:rsidRPr="00697249" w:rsidRDefault="00291F57" w:rsidP="00291F57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697249">
        <w:rPr>
          <w:rFonts w:ascii="Arial" w:hAnsi="Arial" w:cs="Arial"/>
          <w:sz w:val="24"/>
          <w:szCs w:val="24"/>
        </w:rPr>
        <w:t xml:space="preserve">Summary of Guidance </w:t>
      </w:r>
    </w:p>
    <w:p w:rsidR="00310688" w:rsidRPr="00697249" w:rsidRDefault="00291F57" w:rsidP="00291F57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697249">
        <w:rPr>
          <w:rFonts w:ascii="Arial" w:hAnsi="Arial" w:cs="Arial"/>
          <w:sz w:val="24"/>
          <w:szCs w:val="24"/>
        </w:rPr>
        <w:t>Statutory guidance issued under</w:t>
      </w:r>
      <w:r w:rsidR="00310688" w:rsidRPr="00697249">
        <w:rPr>
          <w:rFonts w:ascii="Arial" w:hAnsi="Arial" w:cs="Arial"/>
          <w:sz w:val="24"/>
          <w:szCs w:val="24"/>
        </w:rPr>
        <w:t xml:space="preserve"> </w:t>
      </w:r>
      <w:r w:rsidRPr="00697249">
        <w:rPr>
          <w:rFonts w:ascii="Arial" w:hAnsi="Arial" w:cs="Arial"/>
          <w:sz w:val="24"/>
          <w:szCs w:val="24"/>
        </w:rPr>
        <w:t>section 29 of the Counter-Terrorism</w:t>
      </w:r>
      <w:r w:rsidR="00310688" w:rsidRPr="00697249">
        <w:rPr>
          <w:rFonts w:ascii="Arial" w:hAnsi="Arial" w:cs="Arial"/>
          <w:sz w:val="24"/>
          <w:szCs w:val="24"/>
        </w:rPr>
        <w:t xml:space="preserve"> </w:t>
      </w:r>
      <w:r w:rsidRPr="00697249">
        <w:rPr>
          <w:rFonts w:ascii="Arial" w:hAnsi="Arial" w:cs="Arial"/>
          <w:sz w:val="24"/>
          <w:szCs w:val="24"/>
        </w:rPr>
        <w:t>and Security Act 2015.</w:t>
      </w:r>
      <w:r w:rsidR="00310688" w:rsidRPr="00697249">
        <w:rPr>
          <w:rFonts w:ascii="Arial" w:hAnsi="Arial" w:cs="Arial"/>
          <w:sz w:val="24"/>
          <w:szCs w:val="24"/>
        </w:rPr>
        <w:t xml:space="preserve"> </w:t>
      </w:r>
    </w:p>
    <w:p w:rsidR="00310688" w:rsidRPr="008E39BF" w:rsidRDefault="00310688" w:rsidP="008E39BF">
      <w:pPr>
        <w:pStyle w:val="ListParagraph"/>
        <w:numPr>
          <w:ilvl w:val="0"/>
          <w:numId w:val="2"/>
        </w:numPr>
        <w:tabs>
          <w:tab w:val="left" w:pos="7655"/>
        </w:tabs>
        <w:ind w:left="364"/>
        <w:rPr>
          <w:rFonts w:ascii="Arial" w:hAnsi="Arial" w:cs="Arial"/>
          <w:sz w:val="24"/>
          <w:szCs w:val="24"/>
        </w:rPr>
      </w:pPr>
      <w:r w:rsidRPr="008E39BF">
        <w:rPr>
          <w:rFonts w:ascii="Arial" w:hAnsi="Arial" w:cs="Arial"/>
          <w:sz w:val="24"/>
          <w:szCs w:val="24"/>
        </w:rPr>
        <w:t>S</w:t>
      </w:r>
      <w:r w:rsidR="00291F57" w:rsidRPr="008E39BF">
        <w:rPr>
          <w:rFonts w:ascii="Arial" w:hAnsi="Arial" w:cs="Arial"/>
          <w:sz w:val="24"/>
          <w:szCs w:val="24"/>
        </w:rPr>
        <w:t>ection 26 of the Counter-Terrorism and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Security Act 2015 (the Act) places a duty on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certain bodies (“specified authorities” listed in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Schedule 6 to the Act), in the exercise of their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functions, to have “due regard to the need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to prevent people from being drawn into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terrorism”. This guidance is issued under section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29 of the Act. The Act states that the authorities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subject to the provisions must have regard to</w:t>
      </w:r>
      <w:r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this guid</w:t>
      </w:r>
      <w:r w:rsidR="00A06878">
        <w:rPr>
          <w:rFonts w:ascii="Arial" w:hAnsi="Arial" w:cs="Arial"/>
          <w:sz w:val="24"/>
          <w:szCs w:val="24"/>
        </w:rPr>
        <w:t>ance when carrying out the duty</w:t>
      </w:r>
    </w:p>
    <w:p w:rsidR="00310688" w:rsidRPr="008E39BF" w:rsidRDefault="008E39BF" w:rsidP="008E39BF">
      <w:pPr>
        <w:pStyle w:val="ListParagraph"/>
        <w:numPr>
          <w:ilvl w:val="0"/>
          <w:numId w:val="2"/>
        </w:numPr>
        <w:tabs>
          <w:tab w:val="left" w:pos="7655"/>
        </w:tabs>
        <w:ind w:left="3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91F57" w:rsidRPr="008E39BF">
        <w:rPr>
          <w:rFonts w:ascii="Arial" w:hAnsi="Arial" w:cs="Arial"/>
          <w:sz w:val="24"/>
          <w:szCs w:val="24"/>
        </w:rPr>
        <w:t>he</w:t>
      </w:r>
      <w:proofErr w:type="gramEnd"/>
      <w:r w:rsidR="00291F57" w:rsidRPr="008E39BF">
        <w:rPr>
          <w:rFonts w:ascii="Arial" w:hAnsi="Arial" w:cs="Arial"/>
          <w:sz w:val="24"/>
          <w:szCs w:val="24"/>
        </w:rPr>
        <w:t xml:space="preserve"> list of specified authorities subject to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the provisions can be found in Schedule 6 to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the Act. Further details can be found in the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sector-spe</w:t>
      </w:r>
      <w:r w:rsidR="00A06878">
        <w:rPr>
          <w:rFonts w:ascii="Arial" w:hAnsi="Arial" w:cs="Arial"/>
          <w:sz w:val="24"/>
          <w:szCs w:val="24"/>
        </w:rPr>
        <w:t>cific sections of this guidance</w:t>
      </w:r>
    </w:p>
    <w:p w:rsidR="00310688" w:rsidRPr="008E39BF" w:rsidRDefault="00A06878" w:rsidP="008E39BF">
      <w:pPr>
        <w:pStyle w:val="ListParagraph"/>
        <w:numPr>
          <w:ilvl w:val="0"/>
          <w:numId w:val="2"/>
        </w:numPr>
        <w:tabs>
          <w:tab w:val="left" w:pos="7655"/>
        </w:tabs>
        <w:ind w:left="3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91F57" w:rsidRPr="008E39BF">
        <w:rPr>
          <w:rFonts w:ascii="Arial" w:hAnsi="Arial" w:cs="Arial"/>
          <w:sz w:val="24"/>
          <w:szCs w:val="24"/>
        </w:rPr>
        <w:t>he</w:t>
      </w:r>
      <w:proofErr w:type="gramEnd"/>
      <w:r w:rsidR="00291F57" w:rsidRPr="008E39BF">
        <w:rPr>
          <w:rFonts w:ascii="Arial" w:hAnsi="Arial" w:cs="Arial"/>
          <w:sz w:val="24"/>
          <w:szCs w:val="24"/>
        </w:rPr>
        <w:t xml:space="preserve"> duty applies to specified authorities in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England and Wales, and Scotland. Counter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terrorism is the responsibility of the UK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Government. However, many of the local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delivery mechanisms in Wales and Scotland,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such as health, education and local government,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are devolved. We will ensure close cooperation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with the Scottish and Welsh Governments in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implementing the Prevent duty where there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are interdependencies between devolved and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non-devolved elements. There is separate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guidance for sp</w:t>
      </w:r>
      <w:r>
        <w:rPr>
          <w:rFonts w:ascii="Arial" w:hAnsi="Arial" w:cs="Arial"/>
          <w:sz w:val="24"/>
          <w:szCs w:val="24"/>
        </w:rPr>
        <w:t>ecified authorities in Scotland</w:t>
      </w:r>
    </w:p>
    <w:p w:rsidR="008E39BF" w:rsidRPr="008E39BF" w:rsidRDefault="00A06878" w:rsidP="008E39BF">
      <w:pPr>
        <w:pStyle w:val="ListParagraph"/>
        <w:numPr>
          <w:ilvl w:val="0"/>
          <w:numId w:val="2"/>
        </w:numPr>
        <w:tabs>
          <w:tab w:val="left" w:pos="7655"/>
        </w:tabs>
        <w:spacing w:line="240" w:lineRule="auto"/>
        <w:ind w:left="36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91F57" w:rsidRPr="008E39BF">
        <w:rPr>
          <w:rFonts w:ascii="Arial" w:hAnsi="Arial" w:cs="Arial"/>
          <w:sz w:val="24"/>
          <w:szCs w:val="24"/>
        </w:rPr>
        <w:t>he</w:t>
      </w:r>
      <w:proofErr w:type="gramEnd"/>
      <w:r w:rsidR="00291F57" w:rsidRPr="008E39BF">
        <w:rPr>
          <w:rFonts w:ascii="Arial" w:hAnsi="Arial" w:cs="Arial"/>
          <w:sz w:val="24"/>
          <w:szCs w:val="24"/>
        </w:rPr>
        <w:t xml:space="preserve"> duty does not confer new functions on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any specified authority. The term “due regard”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as used in the Act means that the authorities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should place an appropriate amount of weight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on the need to prevent people being drawn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into terrorism when they consider all the other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factors relevant to how they carry out their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usual functions. This purpose of this guidance is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to assist authorities to decide what this means</w:t>
      </w:r>
      <w:r w:rsidR="00310688" w:rsidRPr="008E39BF">
        <w:rPr>
          <w:rFonts w:ascii="Arial" w:hAnsi="Arial" w:cs="Arial"/>
          <w:sz w:val="24"/>
          <w:szCs w:val="24"/>
        </w:rPr>
        <w:t xml:space="preserve"> </w:t>
      </w:r>
      <w:r w:rsidR="00291F57" w:rsidRPr="008E39BF">
        <w:rPr>
          <w:rFonts w:ascii="Arial" w:hAnsi="Arial" w:cs="Arial"/>
          <w:sz w:val="24"/>
          <w:szCs w:val="24"/>
        </w:rPr>
        <w:t>in practice.</w:t>
      </w:r>
    </w:p>
    <w:p w:rsidR="00310688" w:rsidRPr="00697249" w:rsidRDefault="00310688" w:rsidP="00291F57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697249">
        <w:rPr>
          <w:rFonts w:ascii="Arial" w:hAnsi="Arial" w:cs="Arial"/>
          <w:sz w:val="24"/>
          <w:szCs w:val="24"/>
        </w:rPr>
        <w:t xml:space="preserve">The full policy is available to download here </w:t>
      </w:r>
      <w:hyperlink r:id="rId8" w:history="1">
        <w:r w:rsidRPr="00697249">
          <w:rPr>
            <w:rStyle w:val="Hyperlink"/>
            <w:rFonts w:ascii="Arial" w:hAnsi="Arial" w:cs="Arial"/>
            <w:sz w:val="24"/>
            <w:szCs w:val="24"/>
          </w:rPr>
          <w:t>https://www.gov.uk/government/uploads/system/uploads/attachment_data/file/445977/3799_Revised_Prevent_Duty_Guid</w:t>
        </w:r>
        <w:r w:rsidRPr="00697249">
          <w:rPr>
            <w:rStyle w:val="Hyperlink"/>
            <w:rFonts w:ascii="Arial" w:hAnsi="Arial" w:cs="Arial"/>
            <w:sz w:val="24"/>
            <w:szCs w:val="24"/>
          </w:rPr>
          <w:t>a</w:t>
        </w:r>
        <w:r w:rsidRPr="00697249">
          <w:rPr>
            <w:rStyle w:val="Hyperlink"/>
            <w:rFonts w:ascii="Arial" w:hAnsi="Arial" w:cs="Arial"/>
            <w:sz w:val="24"/>
            <w:szCs w:val="24"/>
          </w:rPr>
          <w:t>nce__England_Wales_V2-Interactive.pdf</w:t>
        </w:r>
      </w:hyperlink>
      <w:r w:rsidRPr="00697249">
        <w:rPr>
          <w:rFonts w:ascii="Arial" w:hAnsi="Arial" w:cs="Arial"/>
          <w:sz w:val="24"/>
          <w:szCs w:val="24"/>
        </w:rPr>
        <w:t xml:space="preserve"> </w:t>
      </w:r>
    </w:p>
    <w:p w:rsidR="00310688" w:rsidRPr="00697249" w:rsidRDefault="00310688" w:rsidP="00291F57">
      <w:pPr>
        <w:tabs>
          <w:tab w:val="left" w:pos="7655"/>
        </w:tabs>
        <w:rPr>
          <w:rFonts w:ascii="Arial" w:hAnsi="Arial" w:cs="Arial"/>
          <w:sz w:val="24"/>
          <w:szCs w:val="24"/>
        </w:rPr>
      </w:pPr>
    </w:p>
    <w:p w:rsidR="00310688" w:rsidRPr="00697249" w:rsidRDefault="00310688" w:rsidP="00291F57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697249">
        <w:rPr>
          <w:rFonts w:ascii="Arial" w:hAnsi="Arial" w:cs="Arial"/>
          <w:sz w:val="24"/>
          <w:szCs w:val="24"/>
        </w:rPr>
        <w:t xml:space="preserve">Reviewed April 2016 </w:t>
      </w:r>
    </w:p>
    <w:sectPr w:rsidR="00310688" w:rsidRPr="00697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33" w:rsidRDefault="009C7833" w:rsidP="009C7833">
      <w:pPr>
        <w:spacing w:after="0" w:line="240" w:lineRule="auto"/>
      </w:pPr>
      <w:r>
        <w:separator/>
      </w:r>
    </w:p>
  </w:endnote>
  <w:endnote w:type="continuationSeparator" w:id="0">
    <w:p w:rsidR="009C7833" w:rsidRDefault="009C7833" w:rsidP="009C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3" w:rsidRDefault="009C7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3" w:rsidRDefault="009C7833">
    <w:pPr>
      <w:pStyle w:val="Foot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Picture 1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3" w:rsidRDefault="009C7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33" w:rsidRDefault="009C7833" w:rsidP="009C7833">
      <w:pPr>
        <w:spacing w:after="0" w:line="240" w:lineRule="auto"/>
      </w:pPr>
      <w:r>
        <w:separator/>
      </w:r>
    </w:p>
  </w:footnote>
  <w:footnote w:type="continuationSeparator" w:id="0">
    <w:p w:rsidR="009C7833" w:rsidRDefault="009C7833" w:rsidP="009C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3" w:rsidRDefault="009C7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3" w:rsidRDefault="009C7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33" w:rsidRDefault="009C7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4E1"/>
    <w:multiLevelType w:val="hybridMultilevel"/>
    <w:tmpl w:val="3C72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3EAE"/>
    <w:multiLevelType w:val="hybridMultilevel"/>
    <w:tmpl w:val="BEA8E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5F"/>
    <w:rsid w:val="00291F57"/>
    <w:rsid w:val="00310688"/>
    <w:rsid w:val="00411227"/>
    <w:rsid w:val="005A217B"/>
    <w:rsid w:val="005E115F"/>
    <w:rsid w:val="00697249"/>
    <w:rsid w:val="008E39BF"/>
    <w:rsid w:val="009C7833"/>
    <w:rsid w:val="00A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9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8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33"/>
  </w:style>
  <w:style w:type="paragraph" w:styleId="Footer">
    <w:name w:val="footer"/>
    <w:basedOn w:val="Normal"/>
    <w:link w:val="FooterChar"/>
    <w:uiPriority w:val="99"/>
    <w:unhideWhenUsed/>
    <w:rsid w:val="009C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9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68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33"/>
  </w:style>
  <w:style w:type="paragraph" w:styleId="Footer">
    <w:name w:val="footer"/>
    <w:basedOn w:val="Normal"/>
    <w:link w:val="FooterChar"/>
    <w:uiPriority w:val="99"/>
    <w:unhideWhenUsed/>
    <w:rsid w:val="009C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45977/3799_Revised_Prevent_Duty_Guidance__England_Wales_V2-Interactiv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Cadman, Andrew</dc:creator>
  <cp:lastModifiedBy>Patel, Heeral</cp:lastModifiedBy>
  <cp:revision>5</cp:revision>
  <cp:lastPrinted>2016-04-21T07:56:00Z</cp:lastPrinted>
  <dcterms:created xsi:type="dcterms:W3CDTF">2016-04-21T07:55:00Z</dcterms:created>
  <dcterms:modified xsi:type="dcterms:W3CDTF">2016-04-25T12:39:00Z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1425596665</vt:i4>
  </property>
  <property fmtid="{D5CDD505-2E9C-101B-9397-08002B2CF9AE}" pid="3" name="_NewReviewCycle">
    <vt:lpwstr/>
  </property>
  <property fmtid="{D5CDD505-2E9C-101B-9397-08002B2CF9AE}" pid="4" name="_EmailSubject">
    <vt:lpwstr>First Aid - Early Years policy</vt:lpwstr>
  </property>
  <property fmtid="{D5CDD505-2E9C-101B-9397-08002B2CF9AE}" pid="5" name="_AuthorEmail">
    <vt:lpwstr>Andrew.Cadman@Barnet.gov.uk</vt:lpwstr>
  </property>
  <property fmtid="{D5CDD505-2E9C-101B-9397-08002B2CF9AE}" pid="6" name="_AuthorEmailDisplayName">
    <vt:lpwstr>Cadman, Andrew</vt:lpwstr>
  </property>
  <property fmtid="{D5CDD505-2E9C-101B-9397-08002B2CF9AE}" pid="7" name="_ReviewingToolsShownOnce">
    <vt:lpwstr/>
  </property>
</Properties>
</file>